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4" w:rsidRPr="003B43CB" w:rsidRDefault="00983CC4" w:rsidP="00983CC4">
      <w:pPr>
        <w:rPr>
          <w:rFonts w:cstheme="minorHAnsi"/>
          <w:b/>
          <w:sz w:val="40"/>
          <w:szCs w:val="40"/>
        </w:rPr>
      </w:pPr>
      <w:r w:rsidRPr="003B43CB">
        <w:rPr>
          <w:rFonts w:cstheme="minorHAnsi"/>
          <w:b/>
          <w:sz w:val="40"/>
          <w:szCs w:val="40"/>
        </w:rPr>
        <w:t>AICCM PSIG-SC</w:t>
      </w:r>
      <w:r w:rsidR="003139FE" w:rsidRPr="003B43CB">
        <w:rPr>
          <w:rFonts w:cstheme="minorHAnsi"/>
          <w:b/>
          <w:sz w:val="40"/>
          <w:szCs w:val="40"/>
        </w:rPr>
        <w:t>C</w:t>
      </w:r>
      <w:r w:rsidRPr="003B43CB">
        <w:rPr>
          <w:rFonts w:cstheme="minorHAnsi"/>
          <w:b/>
          <w:sz w:val="40"/>
          <w:szCs w:val="40"/>
        </w:rPr>
        <w:t xml:space="preserve"> Conference Theme: ‘Managing Risks to Collections’ </w:t>
      </w:r>
    </w:p>
    <w:p w:rsidR="002926C9" w:rsidRPr="003B43CB" w:rsidRDefault="00983CC4" w:rsidP="002926C9">
      <w:pPr>
        <w:rPr>
          <w:rFonts w:cstheme="minorHAnsi"/>
        </w:rPr>
      </w:pPr>
      <w:r w:rsidRPr="003B43CB">
        <w:rPr>
          <w:rFonts w:cstheme="minorHAnsi"/>
        </w:rPr>
        <w:t xml:space="preserve">The concept of risk has become </w:t>
      </w:r>
      <w:r w:rsidR="002D2961" w:rsidRPr="003B43CB">
        <w:rPr>
          <w:rFonts w:cstheme="minorHAnsi"/>
        </w:rPr>
        <w:t>central to</w:t>
      </w:r>
      <w:r w:rsidRPr="003B43CB">
        <w:rPr>
          <w:rFonts w:cstheme="minorHAnsi"/>
        </w:rPr>
        <w:t xml:space="preserve"> </w:t>
      </w:r>
      <w:r w:rsidR="002D2961" w:rsidRPr="003B43CB">
        <w:rPr>
          <w:rFonts w:cstheme="minorHAnsi"/>
        </w:rPr>
        <w:t>collections management</w:t>
      </w:r>
      <w:r w:rsidRPr="003B43CB">
        <w:rPr>
          <w:rFonts w:cstheme="minorHAnsi"/>
        </w:rPr>
        <w:t xml:space="preserve"> over the last few decades</w:t>
      </w:r>
      <w:r w:rsidR="002D2961" w:rsidRPr="003B43CB">
        <w:rPr>
          <w:rFonts w:cstheme="minorHAnsi"/>
        </w:rPr>
        <w:t>. Risk</w:t>
      </w:r>
      <w:r w:rsidRPr="003B43CB">
        <w:rPr>
          <w:rFonts w:cstheme="minorHAnsi"/>
        </w:rPr>
        <w:t xml:space="preserve"> assessment </w:t>
      </w:r>
      <w:r w:rsidR="002D2961" w:rsidRPr="003B43CB">
        <w:rPr>
          <w:rFonts w:cstheme="minorHAnsi"/>
        </w:rPr>
        <w:t xml:space="preserve">and risk management </w:t>
      </w:r>
      <w:r w:rsidR="00EB1AB3" w:rsidRPr="003B43CB">
        <w:rPr>
          <w:rFonts w:cstheme="minorHAnsi"/>
        </w:rPr>
        <w:t xml:space="preserve">provides a common language that bridges collections care within larger operational frameworks and </w:t>
      </w:r>
      <w:r w:rsidR="002D2961" w:rsidRPr="003B43CB">
        <w:rPr>
          <w:rFonts w:cstheme="minorHAnsi"/>
        </w:rPr>
        <w:t>offers a means of prioritising preservation activities</w:t>
      </w:r>
      <w:r w:rsidR="00EB1AB3" w:rsidRPr="003B43CB">
        <w:rPr>
          <w:rFonts w:cstheme="minorHAnsi"/>
        </w:rPr>
        <w:t xml:space="preserve"> and</w:t>
      </w:r>
      <w:r w:rsidR="002D2961" w:rsidRPr="003B43CB">
        <w:rPr>
          <w:rFonts w:cstheme="minorHAnsi"/>
        </w:rPr>
        <w:t xml:space="preserve"> advocating for </w:t>
      </w:r>
      <w:r w:rsidR="00EB1AB3" w:rsidRPr="003B43CB">
        <w:rPr>
          <w:rFonts w:cstheme="minorHAnsi"/>
        </w:rPr>
        <w:t>preservation resources</w:t>
      </w:r>
      <w:r w:rsidR="002D2961" w:rsidRPr="003B43CB">
        <w:rPr>
          <w:rFonts w:cstheme="minorHAnsi"/>
        </w:rPr>
        <w:t xml:space="preserve">. </w:t>
      </w:r>
      <w:r w:rsidR="002926C9" w:rsidRPr="003B43CB">
        <w:rPr>
          <w:rFonts w:cstheme="minorHAnsi"/>
        </w:rPr>
        <w:t>More recently, there has been interest in integrating material risk into wider organisational model</w:t>
      </w:r>
      <w:r w:rsidR="007262FE">
        <w:rPr>
          <w:rFonts w:cstheme="minorHAnsi"/>
        </w:rPr>
        <w:t xml:space="preserve">s and socio-cultural practices, especially for those working within </w:t>
      </w:r>
      <w:r w:rsidR="00884534">
        <w:rPr>
          <w:rFonts w:cstheme="minorHAnsi"/>
        </w:rPr>
        <w:t xml:space="preserve">Australia and </w:t>
      </w:r>
      <w:r w:rsidR="007262FE">
        <w:rPr>
          <w:rFonts w:cstheme="minorHAnsi"/>
        </w:rPr>
        <w:t xml:space="preserve">the Asia-Pacific region. </w:t>
      </w:r>
    </w:p>
    <w:p w:rsidR="00EB1AB3" w:rsidRPr="003B43CB" w:rsidRDefault="002D2961" w:rsidP="002926C9">
      <w:pPr>
        <w:rPr>
          <w:rFonts w:cstheme="minorHAnsi"/>
          <w:color w:val="000000" w:themeColor="text1"/>
        </w:rPr>
      </w:pPr>
      <w:r w:rsidRPr="003B43CB">
        <w:rPr>
          <w:rFonts w:cstheme="minorHAnsi"/>
        </w:rPr>
        <w:t xml:space="preserve">The primary </w:t>
      </w:r>
      <w:r w:rsidR="00B75B24" w:rsidRPr="003B43CB">
        <w:rPr>
          <w:rFonts w:cstheme="minorHAnsi"/>
        </w:rPr>
        <w:t>risks</w:t>
      </w:r>
      <w:r w:rsidRPr="003B43CB">
        <w:rPr>
          <w:rFonts w:cstheme="minorHAnsi"/>
        </w:rPr>
        <w:t xml:space="preserve"> to </w:t>
      </w:r>
      <w:r w:rsidR="00EB1AB3" w:rsidRPr="003B43CB">
        <w:rPr>
          <w:rFonts w:cstheme="minorHAnsi"/>
        </w:rPr>
        <w:t xml:space="preserve">collection </w:t>
      </w:r>
      <w:r w:rsidR="00B75B24" w:rsidRPr="003B43CB">
        <w:rPr>
          <w:rFonts w:cstheme="minorHAnsi"/>
        </w:rPr>
        <w:t>material were outlined in the 1990’s as</w:t>
      </w:r>
      <w:r w:rsidR="00EB1AB3" w:rsidRPr="003B43CB">
        <w:rPr>
          <w:rFonts w:cstheme="minorHAnsi"/>
        </w:rPr>
        <w:t xml:space="preserve"> the T</w:t>
      </w:r>
      <w:r w:rsidR="00D97B41" w:rsidRPr="003B43CB">
        <w:rPr>
          <w:rFonts w:cstheme="minorHAnsi"/>
        </w:rPr>
        <w:t xml:space="preserve">en Agents of Deterioration: </w:t>
      </w:r>
      <w:r w:rsidR="00891597" w:rsidRPr="003B43CB">
        <w:rPr>
          <w:rFonts w:cstheme="minorHAnsi"/>
        </w:rPr>
        <w:t xml:space="preserve">physical forces; thieves and vandals; fire; water; pests; pollutants; light; incorrect temperature; incorrect relative humidity; and custodial neglect/dissociation. </w:t>
      </w:r>
      <w:r w:rsidR="00EB1AB3" w:rsidRPr="003B43CB">
        <w:rPr>
          <w:rFonts w:cstheme="minorHAnsi"/>
        </w:rPr>
        <w:t>Using the Ten Agents of Deterioration as an orienting framework</w:t>
      </w:r>
      <w:r w:rsidR="007D4CED" w:rsidRPr="003B43CB">
        <w:rPr>
          <w:rFonts w:cstheme="minorHAnsi"/>
        </w:rPr>
        <w:t xml:space="preserve"> for the twelve sessions</w:t>
      </w:r>
      <w:r w:rsidR="00EB1AB3" w:rsidRPr="003B43CB">
        <w:rPr>
          <w:rFonts w:cstheme="minorHAnsi"/>
        </w:rPr>
        <w:t>, the ‘Managing Risks to Collections’ conference will explore recent advances in the m</w:t>
      </w:r>
      <w:r w:rsidRPr="003B43CB">
        <w:rPr>
          <w:rFonts w:cstheme="minorHAnsi"/>
        </w:rPr>
        <w:t>on</w:t>
      </w:r>
      <w:r w:rsidR="00EB1AB3" w:rsidRPr="003B43CB">
        <w:rPr>
          <w:rFonts w:cstheme="minorHAnsi"/>
        </w:rPr>
        <w:t xml:space="preserve">itoring and mitigation of </w:t>
      </w:r>
      <w:r w:rsidR="00AC7E35" w:rsidRPr="003B43CB">
        <w:rPr>
          <w:rFonts w:cstheme="minorHAnsi"/>
        </w:rPr>
        <w:t>these</w:t>
      </w:r>
      <w:r w:rsidR="00EB1AB3" w:rsidRPr="003B43CB">
        <w:rPr>
          <w:rFonts w:cstheme="minorHAnsi"/>
        </w:rPr>
        <w:t xml:space="preserve"> </w:t>
      </w:r>
      <w:r w:rsidR="00AC7E35" w:rsidRPr="003B43CB">
        <w:rPr>
          <w:rFonts w:cstheme="minorHAnsi"/>
        </w:rPr>
        <w:t>risks</w:t>
      </w:r>
      <w:r w:rsidR="00EB1AB3" w:rsidRPr="003B43CB">
        <w:rPr>
          <w:rFonts w:cstheme="minorHAnsi"/>
        </w:rPr>
        <w:t xml:space="preserve"> and the application of </w:t>
      </w:r>
      <w:r w:rsidR="00EB1AB3" w:rsidRPr="003B43CB">
        <w:rPr>
          <w:rFonts w:cstheme="minorHAnsi"/>
          <w:color w:val="000000" w:themeColor="text1"/>
        </w:rPr>
        <w:t>risk management tools to prioritise collection care</w:t>
      </w:r>
      <w:r w:rsidR="00BC5939" w:rsidRPr="003B43CB">
        <w:rPr>
          <w:rFonts w:cstheme="minorHAnsi"/>
          <w:color w:val="000000" w:themeColor="text1"/>
        </w:rPr>
        <w:t>.</w:t>
      </w:r>
    </w:p>
    <w:p w:rsidR="003A5F88" w:rsidRPr="003B43CB" w:rsidRDefault="00EB1AB3" w:rsidP="003A5F88">
      <w:pPr>
        <w:spacing w:after="0"/>
        <w:rPr>
          <w:rFonts w:cstheme="minorHAnsi"/>
        </w:rPr>
      </w:pPr>
      <w:r w:rsidRPr="003B43CB">
        <w:rPr>
          <w:rFonts w:cstheme="minorHAnsi"/>
        </w:rPr>
        <w:t xml:space="preserve">The conference organising committee welcomes abstracts from </w:t>
      </w:r>
      <w:r w:rsidR="00BC5939" w:rsidRPr="003B43CB">
        <w:rPr>
          <w:rFonts w:cstheme="minorHAnsi"/>
        </w:rPr>
        <w:t xml:space="preserve">researchers, technical specialists and collection care practitioners working </w:t>
      </w:r>
      <w:r w:rsidRPr="003B43CB">
        <w:rPr>
          <w:rFonts w:cstheme="minorHAnsi"/>
        </w:rPr>
        <w:t>across the collections</w:t>
      </w:r>
      <w:r w:rsidR="007262FE">
        <w:rPr>
          <w:rFonts w:cstheme="minorHAnsi"/>
        </w:rPr>
        <w:t xml:space="preserve"> management and risk disciplines. </w:t>
      </w:r>
      <w:r w:rsidR="00BC5939" w:rsidRPr="003B43CB">
        <w:rPr>
          <w:rFonts w:cstheme="minorHAnsi"/>
        </w:rPr>
        <w:t>Presentations outlining recent research</w:t>
      </w:r>
      <w:r w:rsidRPr="003B43CB">
        <w:rPr>
          <w:rFonts w:cstheme="minorHAnsi"/>
        </w:rPr>
        <w:t>, case stu</w:t>
      </w:r>
      <w:r w:rsidR="003A5F88" w:rsidRPr="003B43CB">
        <w:rPr>
          <w:rFonts w:cstheme="minorHAnsi"/>
        </w:rPr>
        <w:t>dies and theoretical reviews that include, but are not limited to, the following are sought:</w:t>
      </w:r>
    </w:p>
    <w:p w:rsidR="003A5F88" w:rsidRPr="003B43CB" w:rsidRDefault="003A5F88" w:rsidP="003A5F88">
      <w:pPr>
        <w:spacing w:after="0"/>
        <w:rPr>
          <w:rFonts w:cstheme="minorHAnsi"/>
        </w:rPr>
      </w:pPr>
    </w:p>
    <w:p w:rsidR="003A5F88" w:rsidRPr="003B43CB" w:rsidRDefault="003A5F88" w:rsidP="007A64BD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3B43CB">
        <w:rPr>
          <w:rFonts w:cstheme="minorHAnsi"/>
          <w:b/>
        </w:rPr>
        <w:t xml:space="preserve">The Ten Agents of Deterioration: </w:t>
      </w:r>
      <w:r w:rsidRPr="003B43CB">
        <w:rPr>
          <w:rFonts w:cstheme="minorHAnsi"/>
        </w:rPr>
        <w:t>the monitoring, m</w:t>
      </w:r>
      <w:r w:rsidR="00891597" w:rsidRPr="003B43CB">
        <w:rPr>
          <w:rFonts w:cstheme="minorHAnsi"/>
        </w:rPr>
        <w:t xml:space="preserve">itigation and management of </w:t>
      </w:r>
      <w:r w:rsidRPr="003B43CB">
        <w:rPr>
          <w:rFonts w:cstheme="minorHAnsi"/>
        </w:rPr>
        <w:t xml:space="preserve">agents of deterioration including advances in sustainable building technologies (e.g. lighting and passive environmental controls). </w:t>
      </w:r>
      <w:r w:rsidR="007A64BD" w:rsidRPr="003B43CB">
        <w:rPr>
          <w:rFonts w:cstheme="minorHAnsi"/>
        </w:rPr>
        <w:t xml:space="preserve">‘Dissociation’ can be examined in the traditional sense of mismanagement of information </w:t>
      </w:r>
      <w:r w:rsidR="001E0263" w:rsidRPr="003B43CB">
        <w:rPr>
          <w:rFonts w:cstheme="minorHAnsi"/>
        </w:rPr>
        <w:t xml:space="preserve">within the collection as well as broader ideas of digital collections and </w:t>
      </w:r>
      <w:r w:rsidR="007A64BD" w:rsidRPr="003B43CB">
        <w:rPr>
          <w:rFonts w:cstheme="minorHAnsi"/>
        </w:rPr>
        <w:t xml:space="preserve">balancing knowledge transmission within wider socio-cultural contexts. </w:t>
      </w:r>
    </w:p>
    <w:p w:rsidR="003A5F88" w:rsidRPr="003B43CB" w:rsidRDefault="003A5F88" w:rsidP="003A5F88">
      <w:pPr>
        <w:spacing w:after="0"/>
        <w:rPr>
          <w:rFonts w:cstheme="minorHAnsi"/>
        </w:rPr>
      </w:pPr>
    </w:p>
    <w:p w:rsidR="003A5F88" w:rsidRPr="003B43CB" w:rsidRDefault="003A5F88" w:rsidP="003A5F8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3B43CB">
        <w:rPr>
          <w:rFonts w:cstheme="minorHAnsi"/>
          <w:b/>
        </w:rPr>
        <w:t>Risk Assessment</w:t>
      </w:r>
      <w:r w:rsidR="007A64BD" w:rsidRPr="003B43CB">
        <w:rPr>
          <w:rFonts w:cstheme="minorHAnsi"/>
          <w:b/>
        </w:rPr>
        <w:t xml:space="preserve"> and Management</w:t>
      </w:r>
      <w:r w:rsidRPr="003B43CB">
        <w:rPr>
          <w:rFonts w:cstheme="minorHAnsi"/>
          <w:b/>
        </w:rPr>
        <w:t>:</w:t>
      </w:r>
      <w:r w:rsidRPr="003B43CB">
        <w:rPr>
          <w:rFonts w:cstheme="minorHAnsi"/>
        </w:rPr>
        <w:t xml:space="preserve"> as it relates to collection management, exhibition design, public programs and events, loans, and disaster response. </w:t>
      </w:r>
      <w:r w:rsidR="007A64BD" w:rsidRPr="003B43CB">
        <w:rPr>
          <w:rFonts w:cstheme="minorHAnsi"/>
        </w:rPr>
        <w:t xml:space="preserve">How is risk </w:t>
      </w:r>
      <w:r w:rsidR="0051006A" w:rsidRPr="003B43CB">
        <w:rPr>
          <w:rFonts w:cstheme="minorHAnsi"/>
        </w:rPr>
        <w:t xml:space="preserve">defined across museum and allied industries </w:t>
      </w:r>
      <w:r w:rsidR="007A64BD" w:rsidRPr="003B43CB">
        <w:rPr>
          <w:rFonts w:cstheme="minorHAnsi"/>
        </w:rPr>
        <w:t>and how is it communicated within the various systems of object, organisation</w:t>
      </w:r>
      <w:r w:rsidR="0051006A" w:rsidRPr="003B43CB">
        <w:rPr>
          <w:rFonts w:cstheme="minorHAnsi"/>
        </w:rPr>
        <w:t>,</w:t>
      </w:r>
      <w:r w:rsidR="007A64BD" w:rsidRPr="003B43CB">
        <w:rPr>
          <w:rFonts w:cstheme="minorHAnsi"/>
        </w:rPr>
        <w:t xml:space="preserve"> and/or society and culture</w:t>
      </w:r>
      <w:r w:rsidR="00824F98" w:rsidRPr="003B43CB">
        <w:rPr>
          <w:rFonts w:cstheme="minorHAnsi"/>
        </w:rPr>
        <w:t>?</w:t>
      </w:r>
      <w:r w:rsidR="007A64BD" w:rsidRPr="003B43CB">
        <w:rPr>
          <w:rFonts w:cstheme="minorHAnsi"/>
        </w:rPr>
        <w:t xml:space="preserve"> What risk models are being applied and by whom?</w:t>
      </w:r>
      <w:r w:rsidR="0051006A" w:rsidRPr="003B43CB">
        <w:rPr>
          <w:rFonts w:cstheme="minorHAnsi"/>
        </w:rPr>
        <w:t xml:space="preserve"> How do they respond to longer-term risks of economic</w:t>
      </w:r>
      <w:r w:rsidR="00EA1EF0" w:rsidRPr="003B43CB">
        <w:rPr>
          <w:rFonts w:cstheme="minorHAnsi"/>
        </w:rPr>
        <w:t>, environmental and social</w:t>
      </w:r>
      <w:r w:rsidR="0051006A" w:rsidRPr="003B43CB">
        <w:rPr>
          <w:rFonts w:cstheme="minorHAnsi"/>
        </w:rPr>
        <w:t xml:space="preserve"> sustainability?</w:t>
      </w:r>
    </w:p>
    <w:p w:rsidR="003A5F88" w:rsidRPr="003B43CB" w:rsidRDefault="003A5F88" w:rsidP="003A5F88">
      <w:pPr>
        <w:spacing w:after="0"/>
        <w:rPr>
          <w:rFonts w:cstheme="minorHAnsi"/>
        </w:rPr>
      </w:pPr>
    </w:p>
    <w:p w:rsidR="00802AD7" w:rsidRPr="003B43CB" w:rsidRDefault="00BC5939" w:rsidP="00BC5939">
      <w:pPr>
        <w:spacing w:after="0"/>
        <w:rPr>
          <w:rFonts w:cstheme="minorHAnsi"/>
        </w:rPr>
      </w:pPr>
      <w:r w:rsidRPr="003B43CB">
        <w:rPr>
          <w:rFonts w:cstheme="minorHAnsi"/>
        </w:rPr>
        <w:t xml:space="preserve">The conference will </w:t>
      </w:r>
      <w:r w:rsidR="00FE3B23" w:rsidRPr="003B43CB">
        <w:rPr>
          <w:rFonts w:cstheme="minorHAnsi"/>
        </w:rPr>
        <w:t>incorporate</w:t>
      </w:r>
      <w:r w:rsidRPr="003B43CB">
        <w:rPr>
          <w:rFonts w:cstheme="minorHAnsi"/>
        </w:rPr>
        <w:t xml:space="preserve"> a range of presentation formats including papers, posters, lightning talks and panel discussions. The organising committee now </w:t>
      </w:r>
      <w:r w:rsidR="00824F98" w:rsidRPr="003B43CB">
        <w:rPr>
          <w:rFonts w:cstheme="minorHAnsi"/>
        </w:rPr>
        <w:t xml:space="preserve">welcomes abstracts of 300 words </w:t>
      </w:r>
      <w:r w:rsidRPr="003B43CB">
        <w:rPr>
          <w:rFonts w:cstheme="minorHAnsi"/>
        </w:rPr>
        <w:t>for paper</w:t>
      </w:r>
      <w:r w:rsidR="00802AD7" w:rsidRPr="003B43CB">
        <w:rPr>
          <w:rFonts w:cstheme="minorHAnsi"/>
        </w:rPr>
        <w:t xml:space="preserve">s, lightning talks and posters. </w:t>
      </w:r>
    </w:p>
    <w:p w:rsidR="00802AD7" w:rsidRPr="003B43CB" w:rsidRDefault="00802AD7" w:rsidP="00BC5939">
      <w:pPr>
        <w:spacing w:after="0"/>
        <w:rPr>
          <w:rFonts w:cstheme="minorHAnsi"/>
        </w:rPr>
      </w:pPr>
    </w:p>
    <w:p w:rsidR="00BC5939" w:rsidRPr="003B43CB" w:rsidRDefault="00802AD7" w:rsidP="00BC5939">
      <w:pPr>
        <w:spacing w:after="0"/>
        <w:rPr>
          <w:rFonts w:cstheme="minorHAnsi"/>
        </w:rPr>
      </w:pPr>
      <w:r w:rsidRPr="00E127A5">
        <w:rPr>
          <w:rFonts w:cstheme="minorHAnsi"/>
        </w:rPr>
        <w:t>Please refer to the Call for Abstracts for more information.</w:t>
      </w:r>
    </w:p>
    <w:p w:rsidR="00BC5939" w:rsidRPr="003B43CB" w:rsidRDefault="00BC5939" w:rsidP="00BC5939">
      <w:pPr>
        <w:spacing w:after="0"/>
        <w:rPr>
          <w:rFonts w:cstheme="minorHAnsi"/>
        </w:rPr>
      </w:pPr>
    </w:p>
    <w:p w:rsidR="00BC5939" w:rsidRPr="003B43CB" w:rsidRDefault="00420DC3" w:rsidP="00BC5939">
      <w:pPr>
        <w:spacing w:after="0"/>
        <w:rPr>
          <w:rFonts w:cstheme="minorHAnsi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429B408" wp14:editId="6EEC6A00">
            <wp:simplePos x="0" y="0"/>
            <wp:positionH relativeFrom="column">
              <wp:posOffset>5238750</wp:posOffset>
            </wp:positionH>
            <wp:positionV relativeFrom="paragraph">
              <wp:posOffset>811530</wp:posOffset>
            </wp:positionV>
            <wp:extent cx="1114425" cy="1114425"/>
            <wp:effectExtent l="0" t="0" r="9525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2FE" w:rsidRPr="003B43CB">
        <w:rPr>
          <w:rFonts w:cstheme="minorHAns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19BEE0E" wp14:editId="1608560C">
            <wp:simplePos x="0" y="0"/>
            <wp:positionH relativeFrom="column">
              <wp:posOffset>3981450</wp:posOffset>
            </wp:positionH>
            <wp:positionV relativeFrom="page">
              <wp:posOffset>9346565</wp:posOffset>
            </wp:positionV>
            <wp:extent cx="113220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079" y="21082"/>
                <wp:lineTo x="210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939" w:rsidRPr="003B43CB" w:rsidSect="003D1A5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5B4"/>
    <w:multiLevelType w:val="hybridMultilevel"/>
    <w:tmpl w:val="92EC150E"/>
    <w:lvl w:ilvl="0" w:tplc="81869A0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233"/>
    <w:multiLevelType w:val="hybridMultilevel"/>
    <w:tmpl w:val="E11450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B60188"/>
    <w:multiLevelType w:val="hybridMultilevel"/>
    <w:tmpl w:val="F278A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6FEF"/>
    <w:multiLevelType w:val="hybridMultilevel"/>
    <w:tmpl w:val="DF44E322"/>
    <w:lvl w:ilvl="0" w:tplc="81869A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35FB4"/>
    <w:multiLevelType w:val="hybridMultilevel"/>
    <w:tmpl w:val="FB14B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C4"/>
    <w:rsid w:val="000254CA"/>
    <w:rsid w:val="001171FF"/>
    <w:rsid w:val="001B2B09"/>
    <w:rsid w:val="001E0263"/>
    <w:rsid w:val="001F3F16"/>
    <w:rsid w:val="002138E3"/>
    <w:rsid w:val="002926C9"/>
    <w:rsid w:val="002D2961"/>
    <w:rsid w:val="002E4AB4"/>
    <w:rsid w:val="003139FE"/>
    <w:rsid w:val="003A5F88"/>
    <w:rsid w:val="003B43CB"/>
    <w:rsid w:val="003D1A5D"/>
    <w:rsid w:val="00420DC3"/>
    <w:rsid w:val="004E5C95"/>
    <w:rsid w:val="0051006A"/>
    <w:rsid w:val="00676DAD"/>
    <w:rsid w:val="006A0AD3"/>
    <w:rsid w:val="007262FE"/>
    <w:rsid w:val="007A64BD"/>
    <w:rsid w:val="007D4CED"/>
    <w:rsid w:val="00802AD7"/>
    <w:rsid w:val="00824F98"/>
    <w:rsid w:val="00884534"/>
    <w:rsid w:val="00891597"/>
    <w:rsid w:val="008D6579"/>
    <w:rsid w:val="00980673"/>
    <w:rsid w:val="00983CC4"/>
    <w:rsid w:val="009E5E98"/>
    <w:rsid w:val="00A07708"/>
    <w:rsid w:val="00A57CEC"/>
    <w:rsid w:val="00AC7E35"/>
    <w:rsid w:val="00B75B24"/>
    <w:rsid w:val="00BC5939"/>
    <w:rsid w:val="00BC79AC"/>
    <w:rsid w:val="00CF49FC"/>
    <w:rsid w:val="00D33FBD"/>
    <w:rsid w:val="00D97B41"/>
    <w:rsid w:val="00E02936"/>
    <w:rsid w:val="00E127A5"/>
    <w:rsid w:val="00EA1EF0"/>
    <w:rsid w:val="00EB1AB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9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2233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Lelyveld</dc:creator>
  <cp:keywords/>
  <dc:description/>
  <cp:lastModifiedBy>Michelle Berry</cp:lastModifiedBy>
  <cp:revision>2</cp:revision>
  <dcterms:created xsi:type="dcterms:W3CDTF">2018-09-27T22:30:00Z</dcterms:created>
  <dcterms:modified xsi:type="dcterms:W3CDTF">2018-09-27T22:30:00Z</dcterms:modified>
</cp:coreProperties>
</file>